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40</w:t>
      </w:r>
    </w:p>
    <w:p>
      <w:r>
        <w:t>Bundesgericht (BGE), 1987-01-01, FR</w:t>
      </w:r>
    </w:p>
    <w:p>
      <w:r>
        <w:rPr>
          <w:b/>
        </w:rPr>
        <w:t xml:space="preserve">Quelle: </w:t>
      </w:r>
      <w:r>
        <w:t>https://mcp.opencaselaw.ch/entscheid/bge_113 III 40</w:t>
      </w:r>
    </w:p>
    <w:p>
      <w:r>
        <w:t>FR: ATF 113 III 40</w:t>
      </w:r>
    </w:p>
    <w:p>
      <w:r>
        <w:t>IT: DTF 113 III 40</w:t>
      </w:r>
    </w:p>
    <w:p>
      <w:pPr>
        <w:pStyle w:val="Heading2"/>
      </w:pPr>
      <w:r>
        <w:t>Regeste</w:t>
      </w:r>
    </w:p>
    <w:p>
      <w:r>
        <w:t>Regeste Verwertung von Anteilen eines Gemeinschaftsvermögens. Es steht den Betreibungsbehörden nicht zu, über materiellrechtliche Fragen zu befinden, um den Betrag eines Anteils zu bestimmen, der dem Betriebenen von einem Gemeinschaftsvermögen zusteht, das dieser mit der Ehegattin innehat. Es besteht daher kein Grund, die Zwangsverwertung eines Grundstückes aufzuschieben, bis die güterrechtliche Auseinandersetzung im Rahmen eines hängigen Scheidungsverfahrens stattgefunden hat.</w:t>
      </w:r>
    </w:p>
    <w:p>
      <w:pPr>
        <w:pStyle w:val="Heading2"/>
      </w:pPr>
      <w:r>
        <w:t>Erwägungen</w:t>
      </w:r>
    </w:p>
    <w:p>
      <w:r>
        <w:rPr>
          <w:b/>
        </w:rPr>
        <w:t>E. 3</w:t>
      </w:r>
    </w:p>
    <w:p>
      <w:r>
        <w:t>La recourante estime qu'elle ne saurait pâtir d'une dissolution et d'une liquidation de la société simple qu'elle forme avec son mari, lesquelles couperaient court à la procédure de liquidation de leur régime matrimonial dans le cadre du divorce pendant devant le Tribunal civil du district de Lausanne. Elle prétend que devant son opposition à la dissolution, il incombait à l'office d'inviter les créanciers à faire valoir à leurs risques et périls le droit du débiteur à la dissolution et à la liquidation du patrimoine de la société, selon l'art. 13 OTF du 17 janvier 1923 concernant la saisie et la réalisation de parts de communautés (RS 281.41). a) La cour cantonale a considéré à bon droit que la recourante ne pouvait pas s'opposer à la dissolution de la communauté. En effet, BGE 113 III 40 S. 42 la société simple prend fin par le fait que la part de liquidation d'un associé est l'objet d'une exécution forcée ( art. 545 ch. 3 CO ). Dissoute de par la loi, la société simple est en liquidation, de sorte que l'office des poursuites n'est pas tenu de prendre en considération le souhait des titulaires des autres parts d'éviter la liquidation (cf. ATF 78 III 171 consid. 3, où la société simple était dissoute par la faillite d'un associé). b) Il ne saurait dès lors être sursis à la réalisation de l'actif de la société simple. Au demeurant, l'affirmation de la recourante selon laquelle les droits du poursuivi dans la liquidation du régime matrimonial sur l'immeuble seraient de très peu d'importance - raison pour laquelle il conviendrait de procéder d'abord à la liquidation de l'immeuble dans le cadre de la procédure en divorce - se heurte au fait que les autorités de poursuite ne sont pas compétentes pour trancher des questions de droit matériel ( ATF 87 III 108 ), à savoir en l'espèce examiner la valeur de la part de chaque époux sur l'immeuble à la fin de la procédure de divorce, procédure dont on ne sait d'ailleurs pas si et quand elle aboutira.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